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6C" w:rsidRDefault="008C2B31" w:rsidP="00E9356C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B31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25pt;height:108.75pt" fillcolor="#9400ed" strokecolor="#548dd4 [1951]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Сведения &#10;о количестве оборудованных &#10;учебных кабинетов учреждения"/>
          </v:shape>
        </w:pict>
      </w:r>
    </w:p>
    <w:p w:rsidR="00E9356C" w:rsidRDefault="00E9356C" w:rsidP="00E9356C">
      <w:pPr>
        <w:spacing w:after="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356C" w:rsidRPr="00E9356C" w:rsidRDefault="00E9356C" w:rsidP="00E9356C">
      <w:pPr>
        <w:spacing w:after="0"/>
        <w:jc w:val="center"/>
        <w:textAlignment w:val="baseline"/>
        <w:rPr>
          <w:rFonts w:asciiTheme="majorHAnsi" w:eastAsia="Times New Roman" w:hAnsiTheme="majorHAnsi" w:cs="Times New Roman"/>
          <w:sz w:val="32"/>
          <w:szCs w:val="32"/>
          <w:bdr w:val="none" w:sz="0" w:space="0" w:color="auto" w:frame="1"/>
        </w:rPr>
      </w:pPr>
      <w:r w:rsidRPr="00E9356C">
        <w:rPr>
          <w:rFonts w:asciiTheme="majorHAnsi" w:eastAsia="Times New Roman" w:hAnsiTheme="majorHAnsi" w:cs="Times New Roman"/>
          <w:b/>
          <w:bCs/>
          <w:sz w:val="32"/>
          <w:szCs w:val="32"/>
        </w:rPr>
        <w:t>Обеспеченность учебными площадями.</w:t>
      </w:r>
    </w:p>
    <w:p w:rsidR="004F559B" w:rsidRPr="00E9356C" w:rsidRDefault="00E9356C" w:rsidP="004F559B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Учебных кабинетов</w:t>
      </w:r>
      <w:r w:rsidR="004F559B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– 3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, в том числе:</w:t>
      </w:r>
    </w:p>
    <w:p w:rsidR="004F559B" w:rsidRPr="00E9356C" w:rsidRDefault="00E9356C" w:rsidP="004F559B">
      <w:pPr>
        <w:spacing w:after="0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 xml:space="preserve">Физика 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Химия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</w:rPr>
        <w:t>Информатика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 - 1 предметный кабинет.</w:t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br/>
      </w:r>
    </w:p>
    <w:p w:rsidR="00C6206C" w:rsidRPr="00E9356C" w:rsidRDefault="00E9356C" w:rsidP="004F559B">
      <w:pPr>
        <w:spacing w:after="0"/>
        <w:jc w:val="both"/>
        <w:rPr>
          <w:sz w:val="32"/>
          <w:szCs w:val="32"/>
        </w:rPr>
      </w:pP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 xml:space="preserve">К организационным средствам относятся действующие в школе формы обучения: </w:t>
      </w:r>
      <w:proofErr w:type="gramStart"/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очная</w:t>
      </w:r>
      <w:proofErr w:type="gramEnd"/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, обучение по индивидуальным планам.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  <w:r w:rsidRPr="00E9356C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К этой же группе средств обучения относят и взятые в совокупности методы обучения, характер распределения обучаемых по группам (классам), продолжительность учебных циклов (четверти, полугодия, общие сроки обучения), характер и сроки контрольных мероприятий — текущих и итоговых.</w:t>
      </w:r>
      <w:r w:rsidRPr="00E9356C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C6206C" w:rsidRPr="00E9356C" w:rsidSect="005E3838">
      <w:pgSz w:w="11906" w:h="16838"/>
      <w:pgMar w:top="1134" w:right="850" w:bottom="1134" w:left="1418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356C"/>
    <w:rsid w:val="00407B2A"/>
    <w:rsid w:val="004F559B"/>
    <w:rsid w:val="005E3838"/>
    <w:rsid w:val="008C2B31"/>
    <w:rsid w:val="00C6206C"/>
    <w:rsid w:val="00E93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2019-03-15T06:19:00Z</dcterms:created>
  <dcterms:modified xsi:type="dcterms:W3CDTF">2019-03-15T06:19:00Z</dcterms:modified>
</cp:coreProperties>
</file>